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A5A0A"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5F308C08"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1073F74F"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6899C440"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2D4BE869"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652C62DF"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30322A39"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54C81EAB" w14:textId="6AAA4666" w:rsidR="00D51DCC" w:rsidRPr="00D51DCC" w:rsidRDefault="00D51DCC" w:rsidP="00D51DCC">
      <w:pPr>
        <w:spacing w:before="100" w:beforeAutospacing="1" w:after="100" w:afterAutospacing="1" w:line="240" w:lineRule="auto"/>
        <w:jc w:val="center"/>
        <w:outlineLvl w:val="2"/>
        <w:rPr>
          <w:rFonts w:ascii="Times New Roman" w:eastAsia="Times New Roman" w:hAnsi="Times New Roman" w:cs="Times New Roman"/>
          <w:kern w:val="0"/>
          <w14:ligatures w14:val="none"/>
        </w:rPr>
      </w:pPr>
      <w:r w:rsidRPr="00D51DCC">
        <w:rPr>
          <w:rFonts w:ascii="Times New Roman" w:eastAsia="Times New Roman" w:hAnsi="Times New Roman" w:cs="Times New Roman"/>
          <w:kern w:val="0"/>
          <w14:ligatures w14:val="none"/>
        </w:rPr>
        <w:t>Assignment 7.1: Special Topics Paper</w:t>
      </w:r>
    </w:p>
    <w:p w14:paraId="57888999" w14:textId="452A213B" w:rsidR="00D51DCC" w:rsidRPr="00D51DCC" w:rsidRDefault="00D51DCC" w:rsidP="00D51DCC">
      <w:pPr>
        <w:spacing w:before="100" w:beforeAutospacing="1" w:after="100" w:afterAutospacing="1" w:line="240" w:lineRule="auto"/>
        <w:jc w:val="center"/>
        <w:outlineLvl w:val="2"/>
        <w:rPr>
          <w:rFonts w:ascii="Times New Roman" w:eastAsia="Times New Roman" w:hAnsi="Times New Roman" w:cs="Times New Roman"/>
          <w:kern w:val="0"/>
          <w14:ligatures w14:val="none"/>
        </w:rPr>
      </w:pPr>
      <w:r w:rsidRPr="00D51DCC">
        <w:rPr>
          <w:rFonts w:ascii="Times New Roman" w:eastAsia="Times New Roman" w:hAnsi="Times New Roman" w:cs="Times New Roman"/>
          <w:kern w:val="0"/>
          <w14:ligatures w14:val="none"/>
        </w:rPr>
        <w:t>CNS 762: Case Formulation and Treatment Planning in Clinical Mental Health Counseling</w:t>
      </w:r>
    </w:p>
    <w:p w14:paraId="2EFDA424" w14:textId="74983782" w:rsidR="00D51DCC" w:rsidRPr="00D51DCC" w:rsidRDefault="00D51DCC" w:rsidP="00D51DCC">
      <w:pPr>
        <w:spacing w:before="100" w:beforeAutospacing="1" w:after="100" w:afterAutospacing="1" w:line="240" w:lineRule="auto"/>
        <w:jc w:val="center"/>
        <w:outlineLvl w:val="2"/>
        <w:rPr>
          <w:rFonts w:ascii="Times New Roman" w:eastAsia="Times New Roman" w:hAnsi="Times New Roman" w:cs="Times New Roman"/>
          <w:kern w:val="0"/>
          <w14:ligatures w14:val="none"/>
        </w:rPr>
      </w:pPr>
      <w:r w:rsidRPr="00D51DCC">
        <w:rPr>
          <w:rFonts w:ascii="Times New Roman" w:eastAsia="Times New Roman" w:hAnsi="Times New Roman" w:cs="Times New Roman"/>
          <w:kern w:val="0"/>
          <w14:ligatures w14:val="none"/>
        </w:rPr>
        <w:t>Nancy Hickok</w:t>
      </w:r>
    </w:p>
    <w:p w14:paraId="61D9D5D8" w14:textId="77777777" w:rsidR="00D51DCC" w:rsidRPr="00D51DCC" w:rsidRDefault="00D51DCC" w:rsidP="00CC52C2">
      <w:pPr>
        <w:spacing w:before="100" w:beforeAutospacing="1" w:after="100" w:afterAutospacing="1" w:line="240" w:lineRule="auto"/>
        <w:outlineLvl w:val="2"/>
        <w:rPr>
          <w:rFonts w:ascii="Times New Roman" w:eastAsia="Times New Roman" w:hAnsi="Times New Roman" w:cs="Times New Roman"/>
          <w:kern w:val="0"/>
          <w14:ligatures w14:val="none"/>
        </w:rPr>
      </w:pPr>
    </w:p>
    <w:p w14:paraId="4566979C"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39C52D18"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5FD7D83A"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68EAE53E"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66A86CA8"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2495E2C5"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3FF3012F"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3EE4E10C"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552780DB"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2D7BBDE8"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3E472054" w14:textId="77777777" w:rsidR="00D51DCC" w:rsidRDefault="00D51DCC" w:rsidP="00CC52C2">
      <w:pPr>
        <w:spacing w:before="100" w:beforeAutospacing="1" w:after="100" w:afterAutospacing="1" w:line="240" w:lineRule="auto"/>
        <w:outlineLvl w:val="2"/>
        <w:rPr>
          <w:rFonts w:ascii="Times New Roman" w:eastAsia="Times New Roman" w:hAnsi="Times New Roman" w:cs="Times New Roman"/>
          <w:b/>
          <w:bCs/>
          <w:kern w:val="0"/>
          <w14:ligatures w14:val="none"/>
        </w:rPr>
      </w:pPr>
    </w:p>
    <w:p w14:paraId="192934E1" w14:textId="395882E4" w:rsidR="003B4BC7" w:rsidRPr="00566273" w:rsidRDefault="003B4BC7" w:rsidP="00CC52C2">
      <w:pPr>
        <w:spacing w:before="100" w:beforeAutospacing="1" w:after="100" w:afterAutospacing="1" w:line="240" w:lineRule="auto"/>
        <w:outlineLvl w:val="2"/>
        <w:rPr>
          <w:rFonts w:ascii="Times New Roman" w:eastAsia="Times New Roman" w:hAnsi="Times New Roman" w:cs="Times New Roman"/>
          <w:kern w:val="0"/>
          <w14:ligatures w14:val="none"/>
        </w:rPr>
      </w:pPr>
    </w:p>
    <w:p w14:paraId="587A982D" w14:textId="201BB7D3" w:rsidR="003B4BC7" w:rsidRPr="00D51DCC" w:rsidRDefault="003B4BC7" w:rsidP="003B378F">
      <w:pPr>
        <w:spacing w:before="100" w:beforeAutospacing="1" w:after="100" w:afterAutospacing="1" w:line="480" w:lineRule="auto"/>
        <w:ind w:firstLine="720"/>
        <w:rPr>
          <w:rFonts w:ascii="Times New Roman" w:hAnsi="Times New Roman" w:cs="Times New Roman"/>
          <w:kern w:val="0"/>
          <w14:ligatures w14:val="none"/>
        </w:rPr>
      </w:pPr>
      <w:r w:rsidRPr="00D51DCC">
        <w:rPr>
          <w:rFonts w:ascii="Times New Roman" w:hAnsi="Times New Roman" w:cs="Times New Roman"/>
          <w:kern w:val="0"/>
          <w14:ligatures w14:val="none"/>
        </w:rPr>
        <w:lastRenderedPageBreak/>
        <w:t>Childhood trauma is a significant public health concern that includes experiences such as physical abuse, emotional neglect, sexual abuse, domestic violence, and other forms of adverse childhood experiences (ACEs). These early-life stressors disrupt a child’s developmental trajectory and often have long-lasting effects on their psychological, emotional, and physical health well into adulthood. Research has shown that individuals with a history of childhood trauma are at an increased risk for a variety of negative outcomes, including mental health disorders, substance abuse, relationship difficulties, and chronic medical conditions (</w:t>
      </w:r>
      <w:proofErr w:type="spellStart"/>
      <w:r w:rsidRPr="00D51DCC">
        <w:rPr>
          <w:rFonts w:ascii="Times New Roman" w:hAnsi="Times New Roman" w:cs="Times New Roman"/>
          <w:kern w:val="0"/>
          <w14:ligatures w14:val="none"/>
        </w:rPr>
        <w:t>Felitti</w:t>
      </w:r>
      <w:proofErr w:type="spellEnd"/>
      <w:r w:rsidRPr="00D51DCC">
        <w:rPr>
          <w:rFonts w:ascii="Times New Roman" w:hAnsi="Times New Roman" w:cs="Times New Roman"/>
          <w:kern w:val="0"/>
          <w14:ligatures w14:val="none"/>
        </w:rPr>
        <w:t xml:space="preserve"> et al., 1998; Hughes et al., 2017).</w:t>
      </w:r>
    </w:p>
    <w:p w14:paraId="722CDB33" w14:textId="77777777" w:rsidR="003B4BC7" w:rsidRPr="00D51DCC" w:rsidRDefault="003B4BC7" w:rsidP="003B378F">
      <w:pPr>
        <w:spacing w:before="100" w:beforeAutospacing="1" w:after="100" w:afterAutospacing="1" w:line="480" w:lineRule="auto"/>
        <w:ind w:firstLine="720"/>
        <w:rPr>
          <w:rFonts w:ascii="Times New Roman" w:hAnsi="Times New Roman" w:cs="Times New Roman"/>
          <w:kern w:val="0"/>
          <w14:ligatures w14:val="none"/>
        </w:rPr>
      </w:pPr>
      <w:r w:rsidRPr="00D51DCC">
        <w:rPr>
          <w:rFonts w:ascii="Times New Roman" w:hAnsi="Times New Roman" w:cs="Times New Roman"/>
          <w:kern w:val="0"/>
          <w14:ligatures w14:val="none"/>
        </w:rPr>
        <w:t>Understanding the long-term consequences of childhood trauma is critical for mental health professionals, educators, medical providers, and policymakers. It informs the development of trauma-informed care, early intervention strategies, and prevention programs aimed at reducing the intergenerational transmission of trauma. This paper explores how unresolved childhood trauma manifests in adulthood, affecting mental health, emotional regulation, interpersonal relationships, and overall well-being. By examining the evidence-based literature, this paper aims to highlight the necessity of integrating trauma-informed approaches across systems of care to mitigate these lifelong consequences.</w:t>
      </w:r>
    </w:p>
    <w:p w14:paraId="74B8E7D2" w14:textId="7915CF38" w:rsidR="00F71BD0" w:rsidRPr="00D51DCC" w:rsidRDefault="00F71BD0" w:rsidP="003B378F">
      <w:pPr>
        <w:spacing w:before="100" w:beforeAutospacing="1" w:after="100" w:afterAutospacing="1" w:line="480" w:lineRule="auto"/>
        <w:ind w:firstLine="720"/>
        <w:outlineLvl w:val="2"/>
        <w:divId w:val="657030678"/>
        <w:rPr>
          <w:rFonts w:ascii="Times New Roman" w:eastAsia="Times New Roman" w:hAnsi="Times New Roman" w:cs="Times New Roman"/>
          <w:b/>
          <w:bCs/>
          <w:kern w:val="0"/>
          <w14:ligatures w14:val="none"/>
        </w:rPr>
      </w:pPr>
      <w:r w:rsidRPr="00D51DCC">
        <w:rPr>
          <w:rFonts w:ascii="Times New Roman" w:hAnsi="Times New Roman" w:cs="Times New Roman"/>
          <w:kern w:val="0"/>
          <w14:ligatures w14:val="none"/>
        </w:rPr>
        <w:t xml:space="preserve">Childhood trauma encompasses a range of adverse experiences during early development, including physical and emotional abuse, sexual abuse, neglect, exposure to domestic violence, and other forms of household dysfunction. These events, commonly referred to as Adverse Childhood Experiences (ACEs), can disrupt healthy psychological and neurological development. In adulthood, unresolved childhood trauma may contribute to mental health disorders such as depression, anxiety, PTSD, substance use disorders, and relationship </w:t>
      </w:r>
      <w:r w:rsidRPr="00D51DCC">
        <w:rPr>
          <w:rFonts w:ascii="Times New Roman" w:hAnsi="Times New Roman" w:cs="Times New Roman"/>
          <w:kern w:val="0"/>
          <w14:ligatures w14:val="none"/>
        </w:rPr>
        <w:lastRenderedPageBreak/>
        <w:t>difficulties (</w:t>
      </w:r>
      <w:proofErr w:type="spellStart"/>
      <w:r w:rsidRPr="00D51DCC">
        <w:rPr>
          <w:rFonts w:ascii="Times New Roman" w:hAnsi="Times New Roman" w:cs="Times New Roman"/>
          <w:kern w:val="0"/>
          <w14:ligatures w14:val="none"/>
        </w:rPr>
        <w:t>Felitti</w:t>
      </w:r>
      <w:proofErr w:type="spellEnd"/>
      <w:r w:rsidRPr="00D51DCC">
        <w:rPr>
          <w:rFonts w:ascii="Times New Roman" w:hAnsi="Times New Roman" w:cs="Times New Roman"/>
          <w:kern w:val="0"/>
          <w14:ligatures w14:val="none"/>
        </w:rPr>
        <w:t xml:space="preserve"> et al., 1998). Clinically, adults may also experience poor emotional regulation, low self-worth, and difficulties in forming and maintaining secure attachments.</w:t>
      </w:r>
    </w:p>
    <w:p w14:paraId="396B4658" w14:textId="78AF7CA3" w:rsidR="00F71BD0" w:rsidRPr="00D51DCC" w:rsidRDefault="00F71BD0" w:rsidP="00D51DCC">
      <w:pPr>
        <w:spacing w:before="100" w:beforeAutospacing="1" w:after="100" w:afterAutospacing="1" w:line="480" w:lineRule="auto"/>
        <w:ind w:firstLine="720"/>
        <w:divId w:val="657030678"/>
        <w:rPr>
          <w:rFonts w:ascii="Times New Roman" w:hAnsi="Times New Roman" w:cs="Times New Roman"/>
          <w:kern w:val="0"/>
          <w14:ligatures w14:val="none"/>
        </w:rPr>
      </w:pPr>
      <w:r w:rsidRPr="00D51DCC">
        <w:rPr>
          <w:rFonts w:ascii="Times New Roman" w:hAnsi="Times New Roman" w:cs="Times New Roman"/>
          <w:kern w:val="0"/>
          <w14:ligatures w14:val="none"/>
        </w:rPr>
        <w:t xml:space="preserve">Research has shown that childhood trauma is both common and significantly correlated with adult health outcomes. According to the original ACE Study by </w:t>
      </w:r>
      <w:proofErr w:type="spellStart"/>
      <w:r w:rsidRPr="00D51DCC">
        <w:rPr>
          <w:rFonts w:ascii="Times New Roman" w:hAnsi="Times New Roman" w:cs="Times New Roman"/>
          <w:kern w:val="0"/>
          <w14:ligatures w14:val="none"/>
        </w:rPr>
        <w:t>Felitti</w:t>
      </w:r>
      <w:proofErr w:type="spellEnd"/>
      <w:r w:rsidRPr="00D51DCC">
        <w:rPr>
          <w:rFonts w:ascii="Times New Roman" w:hAnsi="Times New Roman" w:cs="Times New Roman"/>
          <w:kern w:val="0"/>
          <w14:ligatures w14:val="none"/>
        </w:rPr>
        <w:t xml:space="preserve"> et al. (1998), over two-thirds of adults reported experiencing at least one ACE, and more than one in five reported three or more. The prevalence is often higher in marginalized communities due to compounding factors such as poverty, discrimination, and community violence. A higher ACE score is associated with an increased risk for physical conditions like heart disease and diabetes, as well as mental health disorders (Hughes et al., 2017).</w:t>
      </w:r>
    </w:p>
    <w:p w14:paraId="39696AB1" w14:textId="7F4D7644" w:rsidR="00F71BD0" w:rsidRPr="00D51DCC" w:rsidRDefault="00F71BD0" w:rsidP="00D51DCC">
      <w:pPr>
        <w:spacing w:before="100" w:beforeAutospacing="1" w:after="100" w:afterAutospacing="1" w:line="480" w:lineRule="auto"/>
        <w:ind w:firstLine="720"/>
        <w:divId w:val="657030678"/>
        <w:rPr>
          <w:rFonts w:ascii="Times New Roman" w:hAnsi="Times New Roman" w:cs="Times New Roman"/>
          <w:kern w:val="0"/>
          <w14:ligatures w14:val="none"/>
        </w:rPr>
      </w:pPr>
      <w:r w:rsidRPr="00D51DCC">
        <w:rPr>
          <w:rFonts w:ascii="Times New Roman" w:hAnsi="Times New Roman" w:cs="Times New Roman"/>
          <w:kern w:val="0"/>
          <w14:ligatures w14:val="none"/>
        </w:rPr>
        <w:t>The long-term impact of trauma is understood through both neurological and psychological mechanisms. Early trauma affects brain regions involved in stress response and emotional regulation, such as the amygdala, hippocampus, and prefrontal cortex (</w:t>
      </w:r>
      <w:proofErr w:type="spellStart"/>
      <w:r w:rsidRPr="00D51DCC">
        <w:rPr>
          <w:rFonts w:ascii="Times New Roman" w:hAnsi="Times New Roman" w:cs="Times New Roman"/>
          <w:kern w:val="0"/>
          <w14:ligatures w14:val="none"/>
        </w:rPr>
        <w:t>Teicher</w:t>
      </w:r>
      <w:proofErr w:type="spellEnd"/>
      <w:r w:rsidRPr="00D51DCC">
        <w:rPr>
          <w:rFonts w:ascii="Times New Roman" w:hAnsi="Times New Roman" w:cs="Times New Roman"/>
          <w:kern w:val="0"/>
          <w14:ligatures w14:val="none"/>
        </w:rPr>
        <w:t xml:space="preserve"> &amp; Samson, 2016). These neurological changes can result in chronic hypervigilance, impulsivity, and poor cognitive control. Psychologically, childhood trauma can shape one’s core beliefs about safety, trust, and self-worth, leading to ongoing difficulties in emotional regulation and interpersonal relationships. Without protective factors like stable caregivers or therapeutic support, these issues often persist into adulthood.</w:t>
      </w:r>
    </w:p>
    <w:p w14:paraId="2E3E1E43" w14:textId="2063CBAB" w:rsidR="003B4BC7" w:rsidRPr="00D51DCC" w:rsidRDefault="00F71BD0" w:rsidP="00566273">
      <w:pPr>
        <w:spacing w:before="100" w:beforeAutospacing="1" w:after="100" w:afterAutospacing="1" w:line="480" w:lineRule="auto"/>
        <w:ind w:firstLine="720"/>
        <w:divId w:val="657030678"/>
        <w:rPr>
          <w:rFonts w:ascii="Times New Roman" w:hAnsi="Times New Roman" w:cs="Times New Roman"/>
          <w:kern w:val="0"/>
          <w14:ligatures w14:val="none"/>
        </w:rPr>
      </w:pPr>
      <w:r w:rsidRPr="00D51DCC">
        <w:rPr>
          <w:rFonts w:ascii="Times New Roman" w:hAnsi="Times New Roman" w:cs="Times New Roman"/>
          <w:kern w:val="0"/>
          <w14:ligatures w14:val="none"/>
        </w:rPr>
        <w:t xml:space="preserve">Several evidence-based treatments have been developed to help adults process and heal from childhood trauma. Trauma-Focused Cognitive Behavioral Therapy (TF-CBT) is widely used and has demonstrated effectiveness in reducing trauma-related symptoms by helping individuals reframe negative beliefs and reduce avoidance behaviors (Cohen et al., 2004). Eye Movement Desensitization and Reprocessing (EMDR) is another research-supported </w:t>
      </w:r>
      <w:r w:rsidRPr="00D51DCC">
        <w:rPr>
          <w:rFonts w:ascii="Times New Roman" w:hAnsi="Times New Roman" w:cs="Times New Roman"/>
          <w:kern w:val="0"/>
          <w14:ligatures w14:val="none"/>
        </w:rPr>
        <w:lastRenderedPageBreak/>
        <w:t>intervention, particularly effective in reprocessing traumatic memories to lessen their emotional intensity (Shapiro, 2018). While these treatments have been effective for many, individuals with complex or prolonged trauma may require longer-term and multi-modal approaches. Access to care, cultural relevance, and therapist training all influence treatment outcomes.</w:t>
      </w:r>
      <w:r w:rsidR="00566273">
        <w:rPr>
          <w:rFonts w:ascii="Times New Roman" w:hAnsi="Times New Roman" w:cs="Times New Roman"/>
          <w:kern w:val="0"/>
          <w14:ligatures w14:val="none"/>
        </w:rPr>
        <w:t xml:space="preserve"> C</w:t>
      </w:r>
      <w:r w:rsidRPr="00D51DCC">
        <w:rPr>
          <w:rFonts w:ascii="Times New Roman" w:hAnsi="Times New Roman" w:cs="Times New Roman"/>
          <w:kern w:val="0"/>
          <w14:ligatures w14:val="none"/>
        </w:rPr>
        <w:t>hildhood trauma has profound and lasting effects on adult functioning, yet recovery is possible. Effective treatment, trauma-informed care, and systemic support are crucial to mitigating these lifelong impacts.</w:t>
      </w:r>
    </w:p>
    <w:p w14:paraId="13B48E72" w14:textId="5170E2ED" w:rsidR="00E910C9" w:rsidRPr="00566273" w:rsidRDefault="00566273" w:rsidP="00566273">
      <w:pPr>
        <w:spacing w:before="100" w:beforeAutospacing="1" w:after="100" w:afterAutospacing="1" w:line="480" w:lineRule="auto"/>
        <w:ind w:firstLine="720"/>
        <w:outlineLvl w:val="3"/>
        <w:divId w:val="34696733"/>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Maria is a 34-year-old Hispanic woman who sought therapy following a panic attack at work. She reports symptoms of chronic anxiety, insomnia, low self-esteem, and recurring nightmares. In relationships, she tends to withdraw when she perceives others as emotionally unavailable or critical, and she frequently expects abandonment. Maria describes herself as feeling “broken” and emotionally exhausted. During initial sessions, she disclosed significant trauma from her childhood. She was raised in a low-income household where her father struggled with alcohol use and frequently directed emotional and physical abuse toward her and her mother. Her mother worked multiple jobs, often leaving Maria to care for her younger siblings. Maria recalls feeling unsafe, unseen, and unheard. Despite these challenges, she completed college and maintains steady employment. This is her first time receiving mental health treatment, and her symptoms have persisted for many years.</w:t>
      </w:r>
    </w:p>
    <w:p w14:paraId="20160D1F" w14:textId="77777777" w:rsid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From a diagnostic standpoint, Maria meets criteria for both Post-Traumatic Stress Disorder (PTSD) and Generalized Anxiety Disorder (GAD) as outlined in the DSM-5 (American Psychiatric Association, 2013). Her symptoms include intrusive thoughts, nightmares, hypervigilance, insomnia, and persistent worry. The chronic nature and early onset of these </w:t>
      </w:r>
      <w:r w:rsidRPr="00566273">
        <w:rPr>
          <w:rFonts w:ascii="Times New Roman" w:eastAsia="Times New Roman" w:hAnsi="Times New Roman" w:cs="Times New Roman"/>
          <w:kern w:val="0"/>
          <w14:ligatures w14:val="none"/>
        </w:rPr>
        <w:lastRenderedPageBreak/>
        <w:t>symptoms suggest a long-standing trauma history, fitting the profile of individuals with high Adverse Childhood Experiences (ACEs) (</w:t>
      </w:r>
      <w:proofErr w:type="spellStart"/>
      <w:r w:rsidRPr="00566273">
        <w:rPr>
          <w:rFonts w:ascii="Times New Roman" w:eastAsia="Times New Roman" w:hAnsi="Times New Roman" w:cs="Times New Roman"/>
          <w:kern w:val="0"/>
          <w14:ligatures w14:val="none"/>
        </w:rPr>
        <w:t>Felitti</w:t>
      </w:r>
      <w:proofErr w:type="spellEnd"/>
      <w:r w:rsidRPr="00566273">
        <w:rPr>
          <w:rFonts w:ascii="Times New Roman" w:eastAsia="Times New Roman" w:hAnsi="Times New Roman" w:cs="Times New Roman"/>
          <w:kern w:val="0"/>
          <w14:ligatures w14:val="none"/>
        </w:rPr>
        <w:t xml:space="preserve"> et al., 1998). She continues to function occupationally but experiences significant emotional distress and relational impairment. Her early exposure to abuse, compounded by neglect and emotional invalidation, appears to have contributed to the development of negative core beliefs such as “I am unworthy,” “Others cannot be trusted,” and “I must be perfect to be safe.” These beliefs are continually reinforced by automatic thoughts like, “If I make a mistake, they’ll leave me,” and maladaptive behaviors including emotional withdrawal, hypervigilance, and avoidance of intimacy. </w:t>
      </w:r>
    </w:p>
    <w:p w14:paraId="1704EA91" w14:textId="0FCBFF83"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Through the lens of Cognitive Behavioral Therapy (CBT), these distorted cognitions and behaviors are understood as central to the maintenance of her emotional distress (Cohen et al., 2004). From a neurobiological perspective, Maria’s early trauma likely impacted the development of her stress response system. Research indicates that childhood abuse and neglect alter key brain structures such as the amygdala, hippocampus, and prefrontal cortex, affecting emotion regulation and memory processing (</w:t>
      </w:r>
      <w:proofErr w:type="spellStart"/>
      <w:r w:rsidRPr="00566273">
        <w:rPr>
          <w:rFonts w:ascii="Times New Roman" w:eastAsia="Times New Roman" w:hAnsi="Times New Roman" w:cs="Times New Roman"/>
          <w:kern w:val="0"/>
          <w14:ligatures w14:val="none"/>
        </w:rPr>
        <w:t>Teicher</w:t>
      </w:r>
      <w:proofErr w:type="spellEnd"/>
      <w:r w:rsidRPr="00566273">
        <w:rPr>
          <w:rFonts w:ascii="Times New Roman" w:eastAsia="Times New Roman" w:hAnsi="Times New Roman" w:cs="Times New Roman"/>
          <w:kern w:val="0"/>
          <w14:ligatures w14:val="none"/>
        </w:rPr>
        <w:t xml:space="preserve"> &amp; Samson, 2016). These changes may account for her physiological symptoms of anxiety and emotional dysregulation. Additionally, her childhood caregiving role reinforced the belief that her value is tied to her ability to care for others, and this dynamic persists in her adult relationships.</w:t>
      </w:r>
    </w:p>
    <w:p w14:paraId="5B4A2810" w14:textId="3358F0AE"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In terms of psychological predisposition, Maria’s early environment presented numerous risk factors: exposure to domestic violence, neglect, and inconsistent caregiving. These conditions laid the foundation for maladaptive coping mechanisms and insecure attachment patterns. Her symptoms are perpetuated by avoidance of emotional closeness and conflict, which temporarily reduce anxiety but ultimately reinforce her belief that closeness is unsafe. She </w:t>
      </w:r>
      <w:r w:rsidRPr="00566273">
        <w:rPr>
          <w:rFonts w:ascii="Times New Roman" w:eastAsia="Times New Roman" w:hAnsi="Times New Roman" w:cs="Times New Roman"/>
          <w:kern w:val="0"/>
          <w14:ligatures w14:val="none"/>
        </w:rPr>
        <w:lastRenderedPageBreak/>
        <w:t>frequently interprets neutral or mildly critical interactions as personal attacks, reinforcing her tendency to withdraw. Despite these challenges, Maria demonstrates multiple protective factors. She is well-educated, has sustained stable employment, and shows resilience in managing daily responsibilities. Her decision to seek therapy—despite cultural and personal stigma—reflects insight and a desire for change. These strengths can be leveraged to support her therapeutic progress.</w:t>
      </w:r>
    </w:p>
    <w:p w14:paraId="46EFE686" w14:textId="468D3C86"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Culturally, Maria’s experience is shaped by her identity as a Hispanic woman. Cultural values such as </w:t>
      </w:r>
      <w:r>
        <w:rPr>
          <w:rFonts w:ascii="Times New Roman" w:eastAsia="Times New Roman" w:hAnsi="Times New Roman" w:cs="Times New Roman"/>
          <w:kern w:val="0"/>
          <w14:ligatures w14:val="none"/>
        </w:rPr>
        <w:t>“</w:t>
      </w:r>
      <w:proofErr w:type="spellStart"/>
      <w:r w:rsidRPr="00566273">
        <w:rPr>
          <w:rFonts w:ascii="Times New Roman" w:eastAsia="Times New Roman" w:hAnsi="Times New Roman" w:cs="Times New Roman"/>
          <w:kern w:val="0"/>
          <w14:ligatures w14:val="none"/>
        </w:rPr>
        <w:t>familismo</w:t>
      </w:r>
      <w:proofErr w:type="spellEnd"/>
      <w:r>
        <w:rPr>
          <w:rFonts w:ascii="Times New Roman" w:eastAsia="Times New Roman" w:hAnsi="Times New Roman" w:cs="Times New Roman"/>
          <w:kern w:val="0"/>
          <w14:ligatures w14:val="none"/>
        </w:rPr>
        <w:t>”</w:t>
      </w:r>
      <w:r w:rsidRPr="00566273">
        <w:rPr>
          <w:rFonts w:ascii="Times New Roman" w:eastAsia="Times New Roman" w:hAnsi="Times New Roman" w:cs="Times New Roman"/>
          <w:kern w:val="0"/>
          <w14:ligatures w14:val="none"/>
        </w:rPr>
        <w:t xml:space="preserve"> likely contributed to her strong sense of responsibility for her siblings and may have discouraged disclosure of family problems to outsiders. Cultural stigma surrounding mental health care, a preference for resolving issues within the family, and the idealization of female self-sacrifice may have delayed her seeking help (Hughes et al., 2017). Additionally, language barriers, socioeconomic stressors, and the underrepresentation of </w:t>
      </w:r>
      <w:r w:rsidR="00682557">
        <w:rPr>
          <w:rFonts w:ascii="Times New Roman" w:eastAsia="Times New Roman" w:hAnsi="Times New Roman" w:cs="Times New Roman"/>
          <w:kern w:val="0"/>
          <w14:ligatures w14:val="none"/>
        </w:rPr>
        <w:t>Hispanic</w:t>
      </w:r>
      <w:r w:rsidRPr="00566273">
        <w:rPr>
          <w:rFonts w:ascii="Times New Roman" w:eastAsia="Times New Roman" w:hAnsi="Times New Roman" w:cs="Times New Roman"/>
          <w:kern w:val="0"/>
          <w14:ligatures w14:val="none"/>
        </w:rPr>
        <w:t xml:space="preserve"> individuals in therapy may have increased her feelings of isolation. Treatment must therefore be culturally responsive, integrating Maria’s cultural values and strengths while avoiding stereotyping or assumptions. Emphasizing resilience, family loyalty, and spirituality can help build rapport and improve therapeutic engagement. The therapist must be attuned to how Maria’s ethnic identity intersects with her trauma and </w:t>
      </w:r>
      <w:r w:rsidRPr="00566273">
        <w:rPr>
          <w:rFonts w:ascii="Times New Roman" w:eastAsia="Times New Roman" w:hAnsi="Times New Roman" w:cs="Times New Roman"/>
          <w:kern w:val="0"/>
          <w14:ligatures w14:val="none"/>
        </w:rPr>
        <w:t>symptoms and</w:t>
      </w:r>
      <w:r w:rsidRPr="00566273">
        <w:rPr>
          <w:rFonts w:ascii="Times New Roman" w:eastAsia="Times New Roman" w:hAnsi="Times New Roman" w:cs="Times New Roman"/>
          <w:kern w:val="0"/>
          <w14:ligatures w14:val="none"/>
        </w:rPr>
        <w:t xml:space="preserve"> adapt interventions to be both clinically and culturally appropriate (Comas-Díaz, 2016).</w:t>
      </w:r>
    </w:p>
    <w:p w14:paraId="7C6B6E0E" w14:textId="77777777"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Maria’s treatment will follow a structured, evidence-based approach using Trauma-Focused Cognitive Behavioral Therapy (TF-CBT) adapted for adults. This modality is well-supported in the literature for treating complex trauma (Cohen et al., 2004). Treatment will be staged and may last 20 to 30 sessions, beginning with psychoeducation and stabilization, </w:t>
      </w:r>
      <w:r w:rsidRPr="00566273">
        <w:rPr>
          <w:rFonts w:ascii="Times New Roman" w:eastAsia="Times New Roman" w:hAnsi="Times New Roman" w:cs="Times New Roman"/>
          <w:kern w:val="0"/>
          <w14:ligatures w14:val="none"/>
        </w:rPr>
        <w:lastRenderedPageBreak/>
        <w:t>progressing to cognitive restructuring and trauma processing, and concluding with skill building and relapse prevention. The initial treatment pattern will focus on helping Maria understand the effects of trauma, reduce self-blame, and recognize the connection between her childhood experiences and current difficulties. Psychoeducation about ACEs and the physiological impact of trauma will lay the groundwork for increased self-compassion and insight. Relaxation strategies such as diaphragmatic breathing, grounding techniques, and progressive muscle relaxation will be introduced early to address her chronic hyperarousal and improve emotional regulation.</w:t>
      </w:r>
    </w:p>
    <w:p w14:paraId="406A04F3" w14:textId="77777777"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Once stabilized, Maria will engage in cognitive restructuring to identify and challenge her negative core beliefs. The therapist will use guided discovery and Socratic questioning to help her evaluate the evidence for thoughts such as “I am broken” or “People always leave me.” Thought records and behavioral experiments will be used as homework assignments to reinforce new, more adaptive beliefs. As Maria’s cognitive flexibility increases, trauma processing techniques such as imaginal exposure and narrative therapy will be introduced to reduce the emotional intensity of traumatic memories. Maria will be supported in constructing a new trauma narrative that acknowledges her past but centers her resilience and agency.</w:t>
      </w:r>
    </w:p>
    <w:p w14:paraId="1EA7FAF0" w14:textId="44772984"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Throughout therapy, mindfulness practices will be woven into sessions to support regulation and presence. These practices will include mindful breathing, body scans, and present-moment awareness exercises. Additionally, Maria will be supported in developing relational skills. Therapy will address patterns of avoidance and mistrust by helping her practice assertiveness, emotional expression, and boundary setting. Role-playing and feedback will be used to enhance her comfort with emotional vulnerability and test new relational patterns. </w:t>
      </w:r>
      <w:r w:rsidRPr="00566273">
        <w:rPr>
          <w:rFonts w:ascii="Times New Roman" w:eastAsia="Times New Roman" w:hAnsi="Times New Roman" w:cs="Times New Roman"/>
          <w:kern w:val="0"/>
          <w14:ligatures w14:val="none"/>
        </w:rPr>
        <w:lastRenderedPageBreak/>
        <w:t>Therapy will also integrate culturally relevant supports. If spirituality is meaningful to Maria, this may be included as a source of strength and reflection. The therapist will validate her dedication to family while helping her navigate a healthier balance between loyalty and self-care.</w:t>
      </w:r>
    </w:p>
    <w:p w14:paraId="2D5285F5" w14:textId="2E5B56F6"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 xml:space="preserve">Potential obstacles in treatment include Maria’s discomfort with emotional vulnerability, her tendency to withdraw under stress, and possible cultural hesitancy around discussing family trauma. Progress may initially be slow as trust is </w:t>
      </w:r>
      <w:r w:rsidRPr="00566273">
        <w:rPr>
          <w:rFonts w:ascii="Times New Roman" w:eastAsia="Times New Roman" w:hAnsi="Times New Roman" w:cs="Times New Roman"/>
          <w:kern w:val="0"/>
          <w14:ligatures w14:val="none"/>
        </w:rPr>
        <w:t>built,</w:t>
      </w:r>
      <w:r w:rsidRPr="00566273">
        <w:rPr>
          <w:rFonts w:ascii="Times New Roman" w:eastAsia="Times New Roman" w:hAnsi="Times New Roman" w:cs="Times New Roman"/>
          <w:kern w:val="0"/>
          <w14:ligatures w14:val="none"/>
        </w:rPr>
        <w:t xml:space="preserve"> and foundational skills are developed. The therapist must be careful not to push too quickly into trauma processing before sufficient stabilization has occurred. Continued monitoring of her emotional readiness is essential. Furthermore, her avoidance tendencies may resurface when therapy challenges deeply held beliefs or relational patterns. Addressing these avoidant behaviors within the safety of the therapeutic relationship will be key to maintaining engagement.</w:t>
      </w:r>
    </w:p>
    <w:p w14:paraId="51E9C764" w14:textId="77777777" w:rsidR="00566273" w:rsidRPr="00566273" w:rsidRDefault="00566273" w:rsidP="00566273">
      <w:pPr>
        <w:spacing w:before="100" w:beforeAutospacing="1" w:after="100" w:afterAutospacing="1" w:line="480" w:lineRule="auto"/>
        <w:ind w:firstLine="720"/>
        <w:outlineLvl w:val="2"/>
        <w:divId w:val="1014645848"/>
        <w:rPr>
          <w:rFonts w:ascii="Times New Roman" w:eastAsia="Times New Roman" w:hAnsi="Times New Roman" w:cs="Times New Roman"/>
          <w:kern w:val="0"/>
          <w14:ligatures w14:val="none"/>
        </w:rPr>
      </w:pPr>
      <w:r w:rsidRPr="00566273">
        <w:rPr>
          <w:rFonts w:ascii="Times New Roman" w:eastAsia="Times New Roman" w:hAnsi="Times New Roman" w:cs="Times New Roman"/>
          <w:kern w:val="0"/>
          <w14:ligatures w14:val="none"/>
        </w:rPr>
        <w:t>The overall prognosis is cautiously optimistic. Maria’s ability to function in her professional life, her reflective capacity, and her motivation for therapy all suggest that with structured, trauma-informed treatment, meaningful progress is likely. Research supports the effectiveness of TF-CBT and EMDR for clients with complex trauma histories when implemented in a flexible, client-centered manner (Shapiro, 2018). With ongoing evaluation, cultural attunement, and a strong therapeutic alliance, Maria is well-positioned to experience reductions in anxiety and PTSD symptoms, improve her relationships, and develop a more integrated and compassionate sense of self.</w:t>
      </w:r>
    </w:p>
    <w:p w14:paraId="122171AC" w14:textId="62D72B6E" w:rsidR="005B1791" w:rsidRPr="00D51DCC" w:rsidRDefault="005B1791" w:rsidP="00D51DCC">
      <w:pPr>
        <w:spacing w:before="100" w:beforeAutospacing="1" w:after="100" w:afterAutospacing="1" w:line="480" w:lineRule="auto"/>
        <w:ind w:firstLine="720"/>
        <w:divId w:val="1014645848"/>
        <w:rPr>
          <w:rFonts w:ascii="Times New Roman" w:hAnsi="Times New Roman" w:cs="Times New Roman"/>
          <w:kern w:val="0"/>
          <w14:ligatures w14:val="none"/>
        </w:rPr>
      </w:pPr>
      <w:r w:rsidRPr="00D51DCC">
        <w:rPr>
          <w:rFonts w:ascii="Times New Roman" w:hAnsi="Times New Roman" w:cs="Times New Roman"/>
          <w:kern w:val="0"/>
          <w14:ligatures w14:val="none"/>
        </w:rPr>
        <w:t xml:space="preserve">Addressing the long-term effects of childhood trauma requires not only clinical intervention but also systemic advocacy. Mental health professionals play a critical role in advocating for trauma-informed care at the individual, institutional, and policy levels. One key </w:t>
      </w:r>
      <w:r w:rsidRPr="00D51DCC">
        <w:rPr>
          <w:rFonts w:ascii="Times New Roman" w:hAnsi="Times New Roman" w:cs="Times New Roman"/>
          <w:kern w:val="0"/>
          <w14:ligatures w14:val="none"/>
        </w:rPr>
        <w:lastRenderedPageBreak/>
        <w:t>strategy is promoting the integration of Adverse Childhood Experiences (ACEs) screening tools in primary care and behavioral health settings. Early identification allows for timely intervention and supports the broader goal of prevention (</w:t>
      </w:r>
      <w:proofErr w:type="spellStart"/>
      <w:r w:rsidRPr="00D51DCC">
        <w:rPr>
          <w:rFonts w:ascii="Times New Roman" w:hAnsi="Times New Roman" w:cs="Times New Roman"/>
          <w:kern w:val="0"/>
          <w14:ligatures w14:val="none"/>
        </w:rPr>
        <w:t>Felitti</w:t>
      </w:r>
      <w:proofErr w:type="spellEnd"/>
      <w:r w:rsidRPr="00D51DCC">
        <w:rPr>
          <w:rFonts w:ascii="Times New Roman" w:hAnsi="Times New Roman" w:cs="Times New Roman"/>
          <w:kern w:val="0"/>
          <w14:ligatures w14:val="none"/>
        </w:rPr>
        <w:t xml:space="preserve"> et al., 1998). Counselors can also advocate for funding to support evidence-based treatments such as Trauma-Focused Cognitive Behavioral Therapy (TF-CBT) and Eye Movement Desensitization and Reprocessing (EMDR), especially in underserved communities disproportionately affected by trauma (Hughes et al., 2017).</w:t>
      </w:r>
    </w:p>
    <w:p w14:paraId="696601D2" w14:textId="740F865E" w:rsidR="005B1791" w:rsidRPr="00D51DCC" w:rsidRDefault="005B1791" w:rsidP="00D51DCC">
      <w:pPr>
        <w:spacing w:before="100" w:beforeAutospacing="1" w:after="100" w:afterAutospacing="1" w:line="480" w:lineRule="auto"/>
        <w:ind w:firstLine="720"/>
        <w:divId w:val="1014645848"/>
        <w:rPr>
          <w:rFonts w:ascii="Times New Roman" w:hAnsi="Times New Roman" w:cs="Times New Roman"/>
          <w:kern w:val="0"/>
          <w14:ligatures w14:val="none"/>
        </w:rPr>
      </w:pPr>
      <w:r w:rsidRPr="00D51DCC">
        <w:rPr>
          <w:rFonts w:ascii="Times New Roman" w:hAnsi="Times New Roman" w:cs="Times New Roman"/>
          <w:kern w:val="0"/>
          <w14:ligatures w14:val="none"/>
        </w:rPr>
        <w:t>Another essential advocacy strategy involves collaborating with schools, community organizations, and legal systems to provide psychoeducation, reduce stigma, and increase access to culturally responsive services. Counselors can work to ensure that trauma survivors, especially from marginalized groups, receive services that recognize the impact of systemic oppression and generational trauma. Additionally, counselors should advocate within their own agencies to adopt trauma-informed policies and procedures, including training for staff, supportive supervision, and safe physical environments.</w:t>
      </w:r>
    </w:p>
    <w:p w14:paraId="62B476E7" w14:textId="12A2B1C6" w:rsidR="005B1791" w:rsidRPr="00D51DCC" w:rsidRDefault="005B1791" w:rsidP="00D51DCC">
      <w:pPr>
        <w:spacing w:before="100" w:beforeAutospacing="1" w:after="100" w:afterAutospacing="1" w:line="480" w:lineRule="auto"/>
        <w:ind w:firstLine="720"/>
        <w:divId w:val="1014645848"/>
        <w:rPr>
          <w:rFonts w:ascii="Times New Roman" w:hAnsi="Times New Roman" w:cs="Times New Roman"/>
          <w:kern w:val="0"/>
          <w14:ligatures w14:val="none"/>
        </w:rPr>
      </w:pPr>
      <w:r w:rsidRPr="00D51DCC">
        <w:rPr>
          <w:rFonts w:ascii="Times New Roman" w:hAnsi="Times New Roman" w:cs="Times New Roman"/>
          <w:kern w:val="0"/>
          <w14:ligatures w14:val="none"/>
        </w:rPr>
        <w:t>Legal and ethical considerations are also crucial in trauma-informed counseling. Confidentiality is a central ethical obligation; however, mandatory reporting laws require counselors to report suspected ongoing child abuse, even if the client is now an adult discussing historical abuse involving current minors. Navigating this requires sensitivity, transparency, and clinical judgment (American Counseling Association [ACA], 2014). Informed consent must include a discussion of these limits, particularly when working with trauma survivors who may feel disempowered by past violations of trust.</w:t>
      </w:r>
    </w:p>
    <w:p w14:paraId="2C277DC9" w14:textId="0F79C1B2" w:rsidR="00E910C9" w:rsidRPr="00D51DCC" w:rsidRDefault="005B1791" w:rsidP="00566273">
      <w:pPr>
        <w:spacing w:before="100" w:beforeAutospacing="1" w:after="100" w:afterAutospacing="1" w:line="480" w:lineRule="auto"/>
        <w:ind w:firstLine="720"/>
        <w:divId w:val="1014645848"/>
        <w:rPr>
          <w:rFonts w:ascii="Times New Roman" w:hAnsi="Times New Roman" w:cs="Times New Roman"/>
          <w:kern w:val="0"/>
          <w14:ligatures w14:val="none"/>
        </w:rPr>
      </w:pPr>
      <w:r w:rsidRPr="00D51DCC">
        <w:rPr>
          <w:rFonts w:ascii="Times New Roman" w:hAnsi="Times New Roman" w:cs="Times New Roman"/>
          <w:kern w:val="0"/>
          <w14:ligatures w14:val="none"/>
        </w:rPr>
        <w:t>Additionally, counselors must avoid re</w:t>
      </w:r>
      <w:r w:rsidR="00D51DCC" w:rsidRPr="00D51DCC">
        <w:rPr>
          <w:rFonts w:ascii="Times New Roman" w:hAnsi="Times New Roman" w:cs="Times New Roman"/>
          <w:kern w:val="0"/>
          <w14:ligatures w14:val="none"/>
        </w:rPr>
        <w:t>-</w:t>
      </w:r>
      <w:r w:rsidRPr="00D51DCC">
        <w:rPr>
          <w:rFonts w:ascii="Times New Roman" w:hAnsi="Times New Roman" w:cs="Times New Roman"/>
          <w:kern w:val="0"/>
          <w14:ligatures w14:val="none"/>
        </w:rPr>
        <w:t xml:space="preserve">traumatization by using ethical practices that prioritize client autonomy, informed participation, and emotional safety. Clinicians are ethically </w:t>
      </w:r>
      <w:r w:rsidRPr="00D51DCC">
        <w:rPr>
          <w:rFonts w:ascii="Times New Roman" w:hAnsi="Times New Roman" w:cs="Times New Roman"/>
          <w:kern w:val="0"/>
          <w14:ligatures w14:val="none"/>
        </w:rPr>
        <w:lastRenderedPageBreak/>
        <w:t>required to work within their scope of competence, especially when using trauma-specific modalities. Ongoing supervision and continuing education are necessary to maintain ethical standards. Counselors must also be culturally competent, recognizing how race, ethnicity, language, and socioeconomic status influence the trauma experience and access to care.</w:t>
      </w:r>
      <w:r w:rsidR="00566273">
        <w:rPr>
          <w:rFonts w:ascii="Times New Roman" w:hAnsi="Times New Roman" w:cs="Times New Roman"/>
          <w:kern w:val="0"/>
          <w14:ligatures w14:val="none"/>
        </w:rPr>
        <w:t xml:space="preserve"> </w:t>
      </w:r>
      <w:r w:rsidRPr="00D51DCC">
        <w:rPr>
          <w:rFonts w:ascii="Times New Roman" w:hAnsi="Times New Roman" w:cs="Times New Roman"/>
          <w:kern w:val="0"/>
          <w14:ligatures w14:val="none"/>
        </w:rPr>
        <w:t>Ultimately, advocating for trauma survivors involves not only competent and compassionate treatment, but also a commitment to systemic change, ethical vigilance, and social justice.</w:t>
      </w:r>
    </w:p>
    <w:p w14:paraId="3DE22019" w14:textId="33216763" w:rsidR="003B4BC7" w:rsidRPr="00D51DCC" w:rsidRDefault="003B4BC7" w:rsidP="00CC52C2">
      <w:pPr>
        <w:spacing w:after="0" w:line="480" w:lineRule="auto"/>
        <w:rPr>
          <w:rFonts w:ascii="Times New Roman" w:eastAsia="Times New Roman" w:hAnsi="Times New Roman" w:cs="Times New Roman"/>
          <w:kern w:val="0"/>
          <w14:ligatures w14:val="none"/>
        </w:rPr>
      </w:pPr>
    </w:p>
    <w:p w14:paraId="67C0432D" w14:textId="77777777" w:rsidR="00CC52C2" w:rsidRPr="00D51DCC" w:rsidRDefault="00CC52C2" w:rsidP="00CC52C2">
      <w:pPr>
        <w:spacing w:after="0" w:line="480" w:lineRule="auto"/>
        <w:rPr>
          <w:rFonts w:ascii="Times New Roman" w:eastAsia="Times New Roman" w:hAnsi="Times New Roman" w:cs="Times New Roman"/>
          <w:kern w:val="0"/>
          <w14:ligatures w14:val="none"/>
        </w:rPr>
      </w:pPr>
    </w:p>
    <w:p w14:paraId="0FA4E6B1" w14:textId="77777777" w:rsidR="00CC52C2" w:rsidRDefault="00CC52C2" w:rsidP="00CC52C2">
      <w:pPr>
        <w:spacing w:after="0" w:line="480" w:lineRule="auto"/>
        <w:rPr>
          <w:rFonts w:ascii="Times New Roman" w:eastAsia="Times New Roman" w:hAnsi="Times New Roman" w:cs="Times New Roman"/>
          <w:kern w:val="0"/>
          <w14:ligatures w14:val="none"/>
        </w:rPr>
      </w:pPr>
    </w:p>
    <w:p w14:paraId="242DF60F" w14:textId="77777777" w:rsidR="00566273" w:rsidRDefault="00566273" w:rsidP="00CC52C2">
      <w:pPr>
        <w:spacing w:after="0" w:line="480" w:lineRule="auto"/>
        <w:rPr>
          <w:rFonts w:ascii="Times New Roman" w:eastAsia="Times New Roman" w:hAnsi="Times New Roman" w:cs="Times New Roman"/>
          <w:kern w:val="0"/>
          <w14:ligatures w14:val="none"/>
        </w:rPr>
      </w:pPr>
    </w:p>
    <w:p w14:paraId="0BF2FB18" w14:textId="77777777" w:rsidR="00566273" w:rsidRDefault="00566273" w:rsidP="00CC52C2">
      <w:pPr>
        <w:spacing w:after="0" w:line="480" w:lineRule="auto"/>
        <w:rPr>
          <w:rFonts w:ascii="Times New Roman" w:eastAsia="Times New Roman" w:hAnsi="Times New Roman" w:cs="Times New Roman"/>
          <w:kern w:val="0"/>
          <w14:ligatures w14:val="none"/>
        </w:rPr>
      </w:pPr>
    </w:p>
    <w:p w14:paraId="68775B24" w14:textId="77777777" w:rsidR="00566273" w:rsidRDefault="00566273" w:rsidP="00CC52C2">
      <w:pPr>
        <w:spacing w:after="0" w:line="480" w:lineRule="auto"/>
        <w:rPr>
          <w:rFonts w:ascii="Times New Roman" w:eastAsia="Times New Roman" w:hAnsi="Times New Roman" w:cs="Times New Roman"/>
          <w:kern w:val="0"/>
          <w14:ligatures w14:val="none"/>
        </w:rPr>
      </w:pPr>
    </w:p>
    <w:p w14:paraId="30DE2B8B" w14:textId="77777777" w:rsidR="00566273" w:rsidRDefault="00566273" w:rsidP="00CC52C2">
      <w:pPr>
        <w:spacing w:after="0" w:line="480" w:lineRule="auto"/>
        <w:rPr>
          <w:rFonts w:ascii="Times New Roman" w:eastAsia="Times New Roman" w:hAnsi="Times New Roman" w:cs="Times New Roman"/>
          <w:kern w:val="0"/>
          <w14:ligatures w14:val="none"/>
        </w:rPr>
      </w:pPr>
    </w:p>
    <w:p w14:paraId="6B4DDC78" w14:textId="77777777" w:rsidR="00566273" w:rsidRDefault="00566273" w:rsidP="00CC52C2">
      <w:pPr>
        <w:spacing w:after="0" w:line="480" w:lineRule="auto"/>
        <w:rPr>
          <w:rFonts w:ascii="Times New Roman" w:eastAsia="Times New Roman" w:hAnsi="Times New Roman" w:cs="Times New Roman"/>
          <w:kern w:val="0"/>
          <w14:ligatures w14:val="none"/>
        </w:rPr>
      </w:pPr>
    </w:p>
    <w:p w14:paraId="5A1B7417" w14:textId="77777777" w:rsidR="00566273" w:rsidRDefault="00566273" w:rsidP="00CC52C2">
      <w:pPr>
        <w:spacing w:after="0" w:line="480" w:lineRule="auto"/>
        <w:rPr>
          <w:rFonts w:ascii="Times New Roman" w:eastAsia="Times New Roman" w:hAnsi="Times New Roman" w:cs="Times New Roman"/>
          <w:kern w:val="0"/>
          <w14:ligatures w14:val="none"/>
        </w:rPr>
      </w:pPr>
    </w:p>
    <w:p w14:paraId="6DDE4FC0" w14:textId="77777777" w:rsidR="00566273" w:rsidRDefault="00566273" w:rsidP="00CC52C2">
      <w:pPr>
        <w:spacing w:after="0" w:line="480" w:lineRule="auto"/>
        <w:rPr>
          <w:rFonts w:ascii="Times New Roman" w:eastAsia="Times New Roman" w:hAnsi="Times New Roman" w:cs="Times New Roman"/>
          <w:kern w:val="0"/>
          <w14:ligatures w14:val="none"/>
        </w:rPr>
      </w:pPr>
    </w:p>
    <w:p w14:paraId="00E5811E" w14:textId="77777777" w:rsidR="00566273" w:rsidRDefault="00566273" w:rsidP="00CC52C2">
      <w:pPr>
        <w:spacing w:after="0" w:line="480" w:lineRule="auto"/>
        <w:rPr>
          <w:rFonts w:ascii="Times New Roman" w:eastAsia="Times New Roman" w:hAnsi="Times New Roman" w:cs="Times New Roman"/>
          <w:kern w:val="0"/>
          <w14:ligatures w14:val="none"/>
        </w:rPr>
      </w:pPr>
    </w:p>
    <w:p w14:paraId="5FCE57B6" w14:textId="77777777" w:rsidR="00566273" w:rsidRDefault="00566273" w:rsidP="00CC52C2">
      <w:pPr>
        <w:spacing w:after="0" w:line="480" w:lineRule="auto"/>
        <w:rPr>
          <w:rFonts w:ascii="Times New Roman" w:eastAsia="Times New Roman" w:hAnsi="Times New Roman" w:cs="Times New Roman"/>
          <w:kern w:val="0"/>
          <w14:ligatures w14:val="none"/>
        </w:rPr>
      </w:pPr>
    </w:p>
    <w:p w14:paraId="69BDEB15" w14:textId="77777777" w:rsidR="00566273" w:rsidRDefault="00566273" w:rsidP="00CC52C2">
      <w:pPr>
        <w:spacing w:after="0" w:line="480" w:lineRule="auto"/>
        <w:rPr>
          <w:rFonts w:ascii="Times New Roman" w:eastAsia="Times New Roman" w:hAnsi="Times New Roman" w:cs="Times New Roman"/>
          <w:kern w:val="0"/>
          <w14:ligatures w14:val="none"/>
        </w:rPr>
      </w:pPr>
    </w:p>
    <w:p w14:paraId="64059500" w14:textId="77777777" w:rsidR="00566273" w:rsidRDefault="00566273" w:rsidP="00CC52C2">
      <w:pPr>
        <w:spacing w:after="0" w:line="480" w:lineRule="auto"/>
        <w:rPr>
          <w:rFonts w:ascii="Times New Roman" w:eastAsia="Times New Roman" w:hAnsi="Times New Roman" w:cs="Times New Roman"/>
          <w:kern w:val="0"/>
          <w14:ligatures w14:val="none"/>
        </w:rPr>
      </w:pPr>
    </w:p>
    <w:p w14:paraId="6C48255B" w14:textId="77777777" w:rsidR="00566273" w:rsidRPr="00D51DCC" w:rsidRDefault="00566273" w:rsidP="00CC52C2">
      <w:pPr>
        <w:spacing w:after="0" w:line="480" w:lineRule="auto"/>
        <w:rPr>
          <w:rFonts w:ascii="Times New Roman" w:eastAsia="Times New Roman" w:hAnsi="Times New Roman" w:cs="Times New Roman"/>
          <w:kern w:val="0"/>
          <w14:ligatures w14:val="none"/>
        </w:rPr>
      </w:pPr>
    </w:p>
    <w:p w14:paraId="16F05FEB" w14:textId="77777777" w:rsidR="00CC52C2" w:rsidRPr="00D51DCC" w:rsidRDefault="00CC52C2" w:rsidP="00CC52C2">
      <w:pPr>
        <w:spacing w:after="0" w:line="480" w:lineRule="auto"/>
        <w:rPr>
          <w:rFonts w:ascii="Times New Roman" w:eastAsia="Times New Roman" w:hAnsi="Times New Roman" w:cs="Times New Roman"/>
          <w:kern w:val="0"/>
          <w14:ligatures w14:val="none"/>
        </w:rPr>
      </w:pPr>
    </w:p>
    <w:p w14:paraId="26F64091" w14:textId="77777777" w:rsidR="003B4BC7" w:rsidRPr="00D51DCC" w:rsidRDefault="003B4BC7" w:rsidP="003B4BC7">
      <w:pPr>
        <w:spacing w:before="100" w:beforeAutospacing="1" w:after="100" w:afterAutospacing="1" w:line="240" w:lineRule="auto"/>
        <w:outlineLvl w:val="2"/>
        <w:rPr>
          <w:rFonts w:ascii="Times New Roman" w:hAnsi="Times New Roman" w:cs="Times New Roman"/>
          <w:b/>
          <w:bCs/>
          <w:kern w:val="0"/>
          <w14:ligatures w14:val="none"/>
        </w:rPr>
      </w:pPr>
      <w:r w:rsidRPr="00D51DCC">
        <w:rPr>
          <w:rFonts w:ascii="Times New Roman" w:eastAsia="Times New Roman" w:hAnsi="Times New Roman" w:cs="Times New Roman"/>
          <w:b/>
          <w:bCs/>
          <w:kern w:val="0"/>
          <w14:ligatures w14:val="none"/>
        </w:rPr>
        <w:lastRenderedPageBreak/>
        <w:t>References</w:t>
      </w:r>
    </w:p>
    <w:p w14:paraId="5017BA37" w14:textId="39FA5C0C" w:rsidR="003B4BC7" w:rsidRDefault="00AB5D7B" w:rsidP="00D51DCC">
      <w:pPr>
        <w:pStyle w:val="p1"/>
        <w:ind w:left="720" w:hanging="720"/>
        <w:divId w:val="349643782"/>
        <w:rPr>
          <w:rStyle w:val="s1"/>
        </w:rPr>
      </w:pPr>
      <w:r w:rsidRPr="00D51DCC">
        <w:rPr>
          <w:rStyle w:val="s1"/>
        </w:rPr>
        <w:t xml:space="preserve">American Counseling Association. (2014). </w:t>
      </w:r>
      <w:r w:rsidRPr="00D51DCC">
        <w:rPr>
          <w:rStyle w:val="s2"/>
        </w:rPr>
        <w:t>ACA Code of Ethics</w:t>
      </w:r>
      <w:r w:rsidRPr="00D51DCC">
        <w:rPr>
          <w:rStyle w:val="s1"/>
        </w:rPr>
        <w:t xml:space="preserve">. </w:t>
      </w:r>
      <w:hyperlink r:id="rId6" w:history="1">
        <w:r w:rsidR="00566273" w:rsidRPr="00FD71E0">
          <w:rPr>
            <w:rStyle w:val="Hyperlink"/>
          </w:rPr>
          <w:t>https://www.counseling.org/resources/aca-code-of-ethics.pdf</w:t>
        </w:r>
      </w:hyperlink>
    </w:p>
    <w:p w14:paraId="791231DB" w14:textId="77777777" w:rsidR="00566273" w:rsidRPr="00566273" w:rsidRDefault="00566273" w:rsidP="00566273">
      <w:pPr>
        <w:pStyle w:val="p1"/>
        <w:ind w:left="720" w:hanging="720"/>
        <w:divId w:val="349643782"/>
      </w:pPr>
      <w:r w:rsidRPr="00566273">
        <w:t>American Psychiatric Association. (2013). Diagnostic and statistical manual of mental disorders (5th ed.).</w:t>
      </w:r>
    </w:p>
    <w:p w14:paraId="39989303" w14:textId="347F38FF" w:rsidR="00566273" w:rsidRPr="00D51DCC" w:rsidRDefault="00566273" w:rsidP="00566273">
      <w:pPr>
        <w:pStyle w:val="p1"/>
        <w:ind w:left="720" w:hanging="720"/>
        <w:divId w:val="349643782"/>
      </w:pPr>
      <w:r w:rsidRPr="00566273">
        <w:t>Comas-Díaz, L. (2016). Cultural considerations in trauma psychology treatment. Journal of Interpersonal Violence, 31(10), 1412–1442.</w:t>
      </w:r>
    </w:p>
    <w:p w14:paraId="39C5D57E" w14:textId="4D570D39" w:rsidR="0071774C" w:rsidRPr="00D51DCC" w:rsidRDefault="0071774C" w:rsidP="00D51DCC">
      <w:pPr>
        <w:pStyle w:val="p1"/>
        <w:ind w:left="720" w:hanging="720"/>
        <w:divId w:val="2043088605"/>
      </w:pPr>
      <w:r w:rsidRPr="00D51DCC">
        <w:rPr>
          <w:rStyle w:val="s1"/>
        </w:rPr>
        <w:t xml:space="preserve">Cohen, J. A., </w:t>
      </w:r>
      <w:proofErr w:type="spellStart"/>
      <w:r w:rsidRPr="00D51DCC">
        <w:rPr>
          <w:rStyle w:val="s1"/>
        </w:rPr>
        <w:t>Mannarino</w:t>
      </w:r>
      <w:proofErr w:type="spellEnd"/>
      <w:r w:rsidRPr="00D51DCC">
        <w:rPr>
          <w:rStyle w:val="s1"/>
        </w:rPr>
        <w:t xml:space="preserve">, A. P., &amp; </w:t>
      </w:r>
      <w:proofErr w:type="spellStart"/>
      <w:r w:rsidRPr="00D51DCC">
        <w:rPr>
          <w:rStyle w:val="s1"/>
        </w:rPr>
        <w:t>Deblinger</w:t>
      </w:r>
      <w:proofErr w:type="spellEnd"/>
      <w:r w:rsidRPr="00D51DCC">
        <w:rPr>
          <w:rStyle w:val="s1"/>
        </w:rPr>
        <w:t xml:space="preserve">, E. (2004). </w:t>
      </w:r>
      <w:r w:rsidRPr="00D51DCC">
        <w:rPr>
          <w:rStyle w:val="s2"/>
        </w:rPr>
        <w:t>Trauma-focused cognitive behavioral therapy for children and adolescents: Treatment applications.</w:t>
      </w:r>
      <w:r w:rsidRPr="00D51DCC">
        <w:rPr>
          <w:rStyle w:val="s1"/>
        </w:rPr>
        <w:t xml:space="preserve"> Guilford Press.</w:t>
      </w:r>
    </w:p>
    <w:p w14:paraId="00618BF4" w14:textId="1FA31F92" w:rsidR="0071774C" w:rsidRPr="00D51DCC" w:rsidRDefault="0071774C" w:rsidP="00D51DCC">
      <w:pPr>
        <w:pStyle w:val="p1"/>
        <w:ind w:left="720" w:hanging="720"/>
        <w:divId w:val="2043088605"/>
      </w:pPr>
      <w:proofErr w:type="spellStart"/>
      <w:r w:rsidRPr="00D51DCC">
        <w:rPr>
          <w:rStyle w:val="s1"/>
        </w:rPr>
        <w:t>Felitti</w:t>
      </w:r>
      <w:proofErr w:type="spellEnd"/>
      <w:r w:rsidRPr="00D51DCC">
        <w:rPr>
          <w:rStyle w:val="s1"/>
        </w:rPr>
        <w:t xml:space="preserve">, V. J., Anda, R. F., Nordenberg, D., Williamson, D. F., Spitz, A. M., Edwards, V., … &amp; Marks, J. S. (1998). </w:t>
      </w:r>
      <w:r w:rsidRPr="00D51DCC">
        <w:rPr>
          <w:rStyle w:val="s2"/>
        </w:rPr>
        <w:t>Relationship of childhood abuse and household dysfunction to many of the leading causes of death in adults: The Adverse Childhood Experiences (ACE) Study.</w:t>
      </w:r>
      <w:r w:rsidRPr="00D51DCC">
        <w:rPr>
          <w:rStyle w:val="s1"/>
        </w:rPr>
        <w:t xml:space="preserve"> </w:t>
      </w:r>
      <w:r w:rsidRPr="00D51DCC">
        <w:rPr>
          <w:rStyle w:val="s2"/>
        </w:rPr>
        <w:t>American Journal of Preventive Medicine, 14</w:t>
      </w:r>
      <w:r w:rsidRPr="00D51DCC">
        <w:rPr>
          <w:rStyle w:val="s1"/>
        </w:rPr>
        <w:t>(4), 245–258. https://doi.org/10.1016/S0749-3797(98)00017-8</w:t>
      </w:r>
    </w:p>
    <w:p w14:paraId="5149E750" w14:textId="4FFEF20A" w:rsidR="0071774C" w:rsidRPr="00D51DCC" w:rsidRDefault="0071774C" w:rsidP="00D51DCC">
      <w:pPr>
        <w:pStyle w:val="p1"/>
        <w:ind w:left="720" w:hanging="720"/>
        <w:divId w:val="2043088605"/>
      </w:pPr>
      <w:r w:rsidRPr="00D51DCC">
        <w:rPr>
          <w:rStyle w:val="s1"/>
        </w:rPr>
        <w:t xml:space="preserve">Hughes, K., Bellis, M. A., Hardcastle, K. A., Sethi, D., Butchart, A., </w:t>
      </w:r>
      <w:proofErr w:type="spellStart"/>
      <w:r w:rsidRPr="00D51DCC">
        <w:rPr>
          <w:rStyle w:val="s1"/>
        </w:rPr>
        <w:t>Mikton</w:t>
      </w:r>
      <w:proofErr w:type="spellEnd"/>
      <w:r w:rsidRPr="00D51DCC">
        <w:rPr>
          <w:rStyle w:val="s1"/>
        </w:rPr>
        <w:t xml:space="preserve">, C., … &amp; Dunne, M. P. (2017). </w:t>
      </w:r>
      <w:r w:rsidRPr="00D51DCC">
        <w:rPr>
          <w:rStyle w:val="s2"/>
        </w:rPr>
        <w:t>The effect of multiple adverse childhood experiences on health: A systematic review and meta-analysis.</w:t>
      </w:r>
      <w:r w:rsidRPr="00D51DCC">
        <w:rPr>
          <w:rStyle w:val="s1"/>
        </w:rPr>
        <w:t xml:space="preserve"> </w:t>
      </w:r>
      <w:r w:rsidRPr="00D51DCC">
        <w:rPr>
          <w:rStyle w:val="s2"/>
        </w:rPr>
        <w:t>The Lancet Public Health, 2</w:t>
      </w:r>
      <w:r w:rsidRPr="00D51DCC">
        <w:rPr>
          <w:rStyle w:val="s1"/>
        </w:rPr>
        <w:t>(8), e356–e366. https://doi.org/10.1016/S2468-2667(17)30118-4</w:t>
      </w:r>
    </w:p>
    <w:p w14:paraId="5F6502C2" w14:textId="029846D9" w:rsidR="0071774C" w:rsidRDefault="0071774C" w:rsidP="00D51DCC">
      <w:pPr>
        <w:pStyle w:val="p1"/>
        <w:ind w:left="720" w:hanging="720"/>
        <w:divId w:val="2043088605"/>
        <w:rPr>
          <w:rStyle w:val="s1"/>
        </w:rPr>
      </w:pPr>
      <w:r w:rsidRPr="00D51DCC">
        <w:rPr>
          <w:rStyle w:val="s1"/>
        </w:rPr>
        <w:t xml:space="preserve">Shapiro, F. (2018). </w:t>
      </w:r>
      <w:r w:rsidRPr="00D51DCC">
        <w:rPr>
          <w:rStyle w:val="s2"/>
        </w:rPr>
        <w:t>Eye movement desensitization and reprocessing (EMDR) therapy: Basic principles, protocols, and procedures</w:t>
      </w:r>
      <w:r w:rsidRPr="00D51DCC">
        <w:rPr>
          <w:rStyle w:val="s1"/>
        </w:rPr>
        <w:t xml:space="preserve"> (3rd ed.). Guilford Press.</w:t>
      </w:r>
    </w:p>
    <w:p w14:paraId="4A5566DF" w14:textId="0EE08487" w:rsidR="00566273" w:rsidRPr="00D51DCC" w:rsidRDefault="00566273" w:rsidP="00566273">
      <w:pPr>
        <w:pStyle w:val="p1"/>
        <w:ind w:left="720" w:hanging="720"/>
        <w:divId w:val="2043088605"/>
      </w:pPr>
      <w:r w:rsidRPr="00566273">
        <w:t>Sperry, L., &amp; Sperry, J. (2020). Case conceptualization: Mastering this competency with ease and confidence (2nd ed.). Routledge.</w:t>
      </w:r>
    </w:p>
    <w:p w14:paraId="4127C5F0" w14:textId="77777777" w:rsidR="0071774C" w:rsidRPr="00D51DCC" w:rsidRDefault="0071774C" w:rsidP="00D51DCC">
      <w:pPr>
        <w:pStyle w:val="p1"/>
        <w:ind w:left="720" w:hanging="720"/>
        <w:divId w:val="2043088605"/>
      </w:pPr>
      <w:proofErr w:type="spellStart"/>
      <w:r w:rsidRPr="00D51DCC">
        <w:rPr>
          <w:rStyle w:val="s1"/>
        </w:rPr>
        <w:t>Teicher</w:t>
      </w:r>
      <w:proofErr w:type="spellEnd"/>
      <w:r w:rsidRPr="00D51DCC">
        <w:rPr>
          <w:rStyle w:val="s1"/>
        </w:rPr>
        <w:t xml:space="preserve">, M. H., &amp; Samson, J. A. (2016). </w:t>
      </w:r>
      <w:r w:rsidRPr="00D51DCC">
        <w:rPr>
          <w:rStyle w:val="s2"/>
        </w:rPr>
        <w:t>Annual research review: Enduring neurobiological effects of childhood abuse and neglect.</w:t>
      </w:r>
      <w:r w:rsidRPr="00D51DCC">
        <w:rPr>
          <w:rStyle w:val="s1"/>
        </w:rPr>
        <w:t xml:space="preserve"> </w:t>
      </w:r>
      <w:r w:rsidRPr="00D51DCC">
        <w:rPr>
          <w:rStyle w:val="s2"/>
        </w:rPr>
        <w:t>Journal of Child Psychology and Psychiatry, 57</w:t>
      </w:r>
      <w:r w:rsidRPr="00D51DCC">
        <w:rPr>
          <w:rStyle w:val="s1"/>
        </w:rPr>
        <w:t>(3), 241–266. https://doi.org/10.1111/jcpp.12507</w:t>
      </w:r>
    </w:p>
    <w:p w14:paraId="78201E90" w14:textId="77777777" w:rsidR="00F71BD0" w:rsidRDefault="00F71BD0" w:rsidP="003B4BC7">
      <w:pPr>
        <w:spacing w:before="100" w:beforeAutospacing="1" w:after="100" w:afterAutospacing="1" w:line="240" w:lineRule="auto"/>
        <w:rPr>
          <w:rFonts w:ascii="Times New Roman" w:hAnsi="Times New Roman" w:cs="Times New Roman"/>
          <w:kern w:val="0"/>
          <w14:ligatures w14:val="none"/>
        </w:rPr>
      </w:pPr>
    </w:p>
    <w:p w14:paraId="357408D3" w14:textId="77777777" w:rsidR="00F71BD0" w:rsidRPr="003B4BC7" w:rsidRDefault="00F71BD0" w:rsidP="003B4BC7">
      <w:pPr>
        <w:spacing w:before="100" w:beforeAutospacing="1" w:after="100" w:afterAutospacing="1" w:line="240" w:lineRule="auto"/>
        <w:rPr>
          <w:rFonts w:ascii="Times New Roman" w:hAnsi="Times New Roman" w:cs="Times New Roman"/>
          <w:kern w:val="0"/>
          <w14:ligatures w14:val="none"/>
        </w:rPr>
      </w:pPr>
    </w:p>
    <w:p w14:paraId="1A5E9131" w14:textId="77777777" w:rsidR="003B4BC7" w:rsidRDefault="003B4BC7"/>
    <w:sectPr w:rsidR="003B4BC7">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B6238" w14:textId="77777777" w:rsidR="00DB424C" w:rsidRDefault="00DB424C" w:rsidP="00D51DCC">
      <w:pPr>
        <w:spacing w:after="0" w:line="240" w:lineRule="auto"/>
      </w:pPr>
      <w:r>
        <w:separator/>
      </w:r>
    </w:p>
  </w:endnote>
  <w:endnote w:type="continuationSeparator" w:id="0">
    <w:p w14:paraId="3FB2646F" w14:textId="77777777" w:rsidR="00DB424C" w:rsidRDefault="00DB424C" w:rsidP="00D51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F0A45" w14:textId="77777777" w:rsidR="00DB424C" w:rsidRDefault="00DB424C" w:rsidP="00D51DCC">
      <w:pPr>
        <w:spacing w:after="0" w:line="240" w:lineRule="auto"/>
      </w:pPr>
      <w:r>
        <w:separator/>
      </w:r>
    </w:p>
  </w:footnote>
  <w:footnote w:type="continuationSeparator" w:id="0">
    <w:p w14:paraId="47BCC4FF" w14:textId="77777777" w:rsidR="00DB424C" w:rsidRDefault="00DB424C" w:rsidP="00D51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19704358"/>
      <w:docPartObj>
        <w:docPartGallery w:val="Page Numbers (Top of Page)"/>
        <w:docPartUnique/>
      </w:docPartObj>
    </w:sdtPr>
    <w:sdtContent>
      <w:p w14:paraId="18E9BDEA" w14:textId="38773F00" w:rsidR="00D51DCC" w:rsidRDefault="00D51DCC" w:rsidP="00FD71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6A8129" w14:textId="77777777" w:rsidR="00D51DCC" w:rsidRDefault="00D51DCC" w:rsidP="00D51DC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0551638"/>
      <w:docPartObj>
        <w:docPartGallery w:val="Page Numbers (Top of Page)"/>
        <w:docPartUnique/>
      </w:docPartObj>
    </w:sdtPr>
    <w:sdtContent>
      <w:p w14:paraId="35BADD00" w14:textId="4C7085FE" w:rsidR="00D51DCC" w:rsidRDefault="00D51DCC" w:rsidP="00FD71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9FCE3C5" w14:textId="77777777" w:rsidR="00D51DCC" w:rsidRDefault="00D51DCC" w:rsidP="00D51DC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BC7"/>
    <w:rsid w:val="00305C4A"/>
    <w:rsid w:val="003B378F"/>
    <w:rsid w:val="003B4BC7"/>
    <w:rsid w:val="00566273"/>
    <w:rsid w:val="005B1791"/>
    <w:rsid w:val="00682557"/>
    <w:rsid w:val="0071774C"/>
    <w:rsid w:val="00AB5D7B"/>
    <w:rsid w:val="00B42E97"/>
    <w:rsid w:val="00CC52C2"/>
    <w:rsid w:val="00CF300E"/>
    <w:rsid w:val="00D51DCC"/>
    <w:rsid w:val="00D568F1"/>
    <w:rsid w:val="00D76AC8"/>
    <w:rsid w:val="00DB424C"/>
    <w:rsid w:val="00E910C9"/>
    <w:rsid w:val="00F71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E2F80"/>
  <w15:chartTrackingRefBased/>
  <w15:docId w15:val="{7D448F51-C554-714A-84E5-F368E387C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B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4B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3B4B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3B4B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4B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4B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B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B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B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B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4B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4B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4B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4B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4B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B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B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BC7"/>
    <w:rPr>
      <w:rFonts w:eastAsiaTheme="majorEastAsia" w:cstheme="majorBidi"/>
      <w:color w:val="272727" w:themeColor="text1" w:themeTint="D8"/>
    </w:rPr>
  </w:style>
  <w:style w:type="paragraph" w:styleId="Title">
    <w:name w:val="Title"/>
    <w:basedOn w:val="Normal"/>
    <w:next w:val="Normal"/>
    <w:link w:val="TitleChar"/>
    <w:uiPriority w:val="10"/>
    <w:qFormat/>
    <w:rsid w:val="003B4B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B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B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B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BC7"/>
    <w:pPr>
      <w:spacing w:before="160"/>
      <w:jc w:val="center"/>
    </w:pPr>
    <w:rPr>
      <w:i/>
      <w:iCs/>
      <w:color w:val="404040" w:themeColor="text1" w:themeTint="BF"/>
    </w:rPr>
  </w:style>
  <w:style w:type="character" w:customStyle="1" w:styleId="QuoteChar">
    <w:name w:val="Quote Char"/>
    <w:basedOn w:val="DefaultParagraphFont"/>
    <w:link w:val="Quote"/>
    <w:uiPriority w:val="29"/>
    <w:rsid w:val="003B4BC7"/>
    <w:rPr>
      <w:i/>
      <w:iCs/>
      <w:color w:val="404040" w:themeColor="text1" w:themeTint="BF"/>
    </w:rPr>
  </w:style>
  <w:style w:type="paragraph" w:styleId="ListParagraph">
    <w:name w:val="List Paragraph"/>
    <w:basedOn w:val="Normal"/>
    <w:uiPriority w:val="34"/>
    <w:qFormat/>
    <w:rsid w:val="003B4BC7"/>
    <w:pPr>
      <w:ind w:left="720"/>
      <w:contextualSpacing/>
    </w:pPr>
  </w:style>
  <w:style w:type="character" w:styleId="IntenseEmphasis">
    <w:name w:val="Intense Emphasis"/>
    <w:basedOn w:val="DefaultParagraphFont"/>
    <w:uiPriority w:val="21"/>
    <w:qFormat/>
    <w:rsid w:val="003B4BC7"/>
    <w:rPr>
      <w:i/>
      <w:iCs/>
      <w:color w:val="2F5496" w:themeColor="accent1" w:themeShade="BF"/>
    </w:rPr>
  </w:style>
  <w:style w:type="paragraph" w:styleId="IntenseQuote">
    <w:name w:val="Intense Quote"/>
    <w:basedOn w:val="Normal"/>
    <w:next w:val="Normal"/>
    <w:link w:val="IntenseQuoteChar"/>
    <w:uiPriority w:val="30"/>
    <w:qFormat/>
    <w:rsid w:val="003B4B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4BC7"/>
    <w:rPr>
      <w:i/>
      <w:iCs/>
      <w:color w:val="2F5496" w:themeColor="accent1" w:themeShade="BF"/>
    </w:rPr>
  </w:style>
  <w:style w:type="character" w:styleId="IntenseReference">
    <w:name w:val="Intense Reference"/>
    <w:basedOn w:val="DefaultParagraphFont"/>
    <w:uiPriority w:val="32"/>
    <w:qFormat/>
    <w:rsid w:val="003B4BC7"/>
    <w:rPr>
      <w:b/>
      <w:bCs/>
      <w:smallCaps/>
      <w:color w:val="2F5496" w:themeColor="accent1" w:themeShade="BF"/>
      <w:spacing w:val="5"/>
    </w:rPr>
  </w:style>
  <w:style w:type="character" w:customStyle="1" w:styleId="s1">
    <w:name w:val="s1"/>
    <w:basedOn w:val="DefaultParagraphFont"/>
    <w:rsid w:val="003B4BC7"/>
  </w:style>
  <w:style w:type="paragraph" w:customStyle="1" w:styleId="p2">
    <w:name w:val="p2"/>
    <w:basedOn w:val="Normal"/>
    <w:rsid w:val="003B4BC7"/>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3B4BC7"/>
  </w:style>
  <w:style w:type="paragraph" w:customStyle="1" w:styleId="p3">
    <w:name w:val="p3"/>
    <w:basedOn w:val="Normal"/>
    <w:rsid w:val="003B4BC7"/>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3B4BC7"/>
  </w:style>
  <w:style w:type="character" w:styleId="Hyperlink">
    <w:name w:val="Hyperlink"/>
    <w:basedOn w:val="DefaultParagraphFont"/>
    <w:uiPriority w:val="99"/>
    <w:unhideWhenUsed/>
    <w:rsid w:val="00F71BD0"/>
    <w:rPr>
      <w:color w:val="0563C1" w:themeColor="hyperlink"/>
      <w:u w:val="single"/>
    </w:rPr>
  </w:style>
  <w:style w:type="character" w:styleId="UnresolvedMention">
    <w:name w:val="Unresolved Mention"/>
    <w:basedOn w:val="DefaultParagraphFont"/>
    <w:uiPriority w:val="99"/>
    <w:semiHidden/>
    <w:unhideWhenUsed/>
    <w:rsid w:val="00F71BD0"/>
    <w:rPr>
      <w:color w:val="605E5C"/>
      <w:shd w:val="clear" w:color="auto" w:fill="E1DFDD"/>
    </w:rPr>
  </w:style>
  <w:style w:type="paragraph" w:customStyle="1" w:styleId="p1">
    <w:name w:val="p1"/>
    <w:basedOn w:val="Normal"/>
    <w:rsid w:val="0071774C"/>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D51D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DCC"/>
  </w:style>
  <w:style w:type="character" w:styleId="PageNumber">
    <w:name w:val="page number"/>
    <w:basedOn w:val="DefaultParagraphFont"/>
    <w:uiPriority w:val="99"/>
    <w:semiHidden/>
    <w:unhideWhenUsed/>
    <w:rsid w:val="00D51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643782">
      <w:marLeft w:val="0"/>
      <w:marRight w:val="0"/>
      <w:marTop w:val="0"/>
      <w:marBottom w:val="0"/>
      <w:divBdr>
        <w:top w:val="none" w:sz="0" w:space="0" w:color="auto"/>
        <w:left w:val="none" w:sz="0" w:space="0" w:color="auto"/>
        <w:bottom w:val="none" w:sz="0" w:space="0" w:color="auto"/>
        <w:right w:val="none" w:sz="0" w:space="0" w:color="auto"/>
      </w:divBdr>
    </w:div>
    <w:div w:id="657030678">
      <w:marLeft w:val="0"/>
      <w:marRight w:val="0"/>
      <w:marTop w:val="0"/>
      <w:marBottom w:val="0"/>
      <w:divBdr>
        <w:top w:val="none" w:sz="0" w:space="0" w:color="auto"/>
        <w:left w:val="none" w:sz="0" w:space="0" w:color="auto"/>
        <w:bottom w:val="none" w:sz="0" w:space="0" w:color="auto"/>
        <w:right w:val="none" w:sz="0" w:space="0" w:color="auto"/>
      </w:divBdr>
      <w:divsChild>
        <w:div w:id="34696733">
          <w:marLeft w:val="0"/>
          <w:marRight w:val="0"/>
          <w:marTop w:val="0"/>
          <w:marBottom w:val="0"/>
          <w:divBdr>
            <w:top w:val="none" w:sz="0" w:space="0" w:color="auto"/>
            <w:left w:val="none" w:sz="0" w:space="0" w:color="auto"/>
            <w:bottom w:val="none" w:sz="0" w:space="0" w:color="auto"/>
            <w:right w:val="none" w:sz="0" w:space="0" w:color="auto"/>
          </w:divBdr>
        </w:div>
        <w:div w:id="1014645848">
          <w:marLeft w:val="0"/>
          <w:marRight w:val="0"/>
          <w:marTop w:val="0"/>
          <w:marBottom w:val="0"/>
          <w:divBdr>
            <w:top w:val="none" w:sz="0" w:space="0" w:color="auto"/>
            <w:left w:val="none" w:sz="0" w:space="0" w:color="auto"/>
            <w:bottom w:val="none" w:sz="0" w:space="0" w:color="auto"/>
            <w:right w:val="none" w:sz="0" w:space="0" w:color="auto"/>
          </w:divBdr>
        </w:div>
      </w:divsChild>
    </w:div>
    <w:div w:id="204308860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unseling.org/resources/aca-code-of-ethics.pdf"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11</Pages>
  <Words>2674</Words>
  <Characters>15247</Characters>
  <Application>Microsoft Office Word</Application>
  <DocSecurity>0</DocSecurity>
  <Lines>127</Lines>
  <Paragraphs>35</Paragraphs>
  <ScaleCrop>false</ScaleCrop>
  <Company/>
  <LinksUpToDate>false</LinksUpToDate>
  <CharactersWithSpaces>17886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Hickok</dc:creator>
  <cp:keywords/>
  <dc:description/>
  <cp:lastModifiedBy>Robert Hickok</cp:lastModifiedBy>
  <cp:revision>7</cp:revision>
  <dcterms:created xsi:type="dcterms:W3CDTF">2025-06-27T18:47:00Z</dcterms:created>
  <dcterms:modified xsi:type="dcterms:W3CDTF">2025-06-30T01:45:00Z</dcterms:modified>
</cp:coreProperties>
</file>